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67CA" w14:textId="751E5E9E" w:rsidR="003C214C" w:rsidRPr="00086853" w:rsidRDefault="00A15D91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b/>
          <w:sz w:val="24"/>
          <w:szCs w:val="24"/>
          <w:lang w:eastAsia="it-IT"/>
        </w:rPr>
      </w:pPr>
      <w:bookmarkStart w:id="0" w:name="_GoBack"/>
      <w:bookmarkEnd w:id="0"/>
      <w:r w:rsidRPr="00086853">
        <w:rPr>
          <w:rFonts w:ascii="Garamond" w:eastAsia="Times New Roman" w:hAnsi="Garamond" w:cs="TimesNewRomanPSMT"/>
          <w:b/>
          <w:sz w:val="24"/>
          <w:szCs w:val="24"/>
          <w:lang w:eastAsia="it-IT"/>
        </w:rPr>
        <w:t xml:space="preserve">INDICE </w:t>
      </w:r>
    </w:p>
    <w:p w14:paraId="62D069A1" w14:textId="77777777" w:rsidR="003C214C" w:rsidRDefault="003C214C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highlight w:val="yellow"/>
          <w:lang w:eastAsia="it-IT"/>
        </w:rPr>
      </w:pPr>
    </w:p>
    <w:p w14:paraId="40B73513" w14:textId="424B9378" w:rsidR="003C214C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1.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Il Piano della qualità della Formazione Azienda USL Toscana Sud Est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</w:p>
    <w:p w14:paraId="70610D7B" w14:textId="417F0E12" w:rsidR="003C214C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2.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Organigramma e Funzionigramma 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>dell’UOC Formazione e Rapporti con l’Università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</w:p>
    <w:p w14:paraId="7C1CF0F8" w14:textId="77777777" w:rsidR="00BA5D8B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</w:p>
    <w:p w14:paraId="31DB97D5" w14:textId="0E7F3774" w:rsidR="003C214C" w:rsidRPr="00BA5D8B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3.</w:t>
      </w:r>
      <w:r w:rsidR="003443F3" w:rsidRPr="003443F3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3443F3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PA-FORU-001</w:t>
      </w:r>
      <w:r w:rsidR="003443F3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3C214C"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 w:rsidR="003C214C"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per la rilevazione e prevenzione del conflitto di interessi, anche potenziale, nella struttura organizzativa e nella pianificazione, progettazione ed erogazione degli </w:t>
      </w:r>
      <w:r w:rsidR="006C7AB8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eventi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6C7AB8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479D1601" w14:textId="5EA8D84F" w:rsidR="003C214C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4.</w:t>
      </w:r>
      <w:r w:rsidR="003443F3" w:rsidRPr="003443F3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3443F3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PA-FORU-00</w:t>
      </w:r>
      <w:r w:rsidR="003443F3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6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di governo del processo della contrattazione, della sponsorizzazione e della contabilità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</w:p>
    <w:p w14:paraId="1F3326D0" w14:textId="0DD198F7" w:rsidR="00DE0CDE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5.</w:t>
      </w:r>
      <w:r w:rsidR="003443F3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3443F3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PA-FORU-00</w:t>
      </w:r>
      <w:r w:rsidR="003443F3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4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per l’analisi e la rilevazione dei fabbisogni formativi sottoposte al Comitato 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>S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cientifico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Formativo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DE0CDE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2E11579D" w14:textId="23E7C732" w:rsidR="00CD3E77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bookmarkStart w:id="1" w:name="_Hlk178329920"/>
      <w:r>
        <w:rPr>
          <w:rFonts w:ascii="Garamond" w:eastAsia="Times New Roman" w:hAnsi="Garamond" w:cs="TimesNewRomanPSMT"/>
          <w:sz w:val="24"/>
          <w:szCs w:val="24"/>
          <w:lang w:eastAsia="it-IT"/>
        </w:rPr>
        <w:t>6.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1 </w:t>
      </w:r>
      <w:r w:rsidR="003443F3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PA-FORU-00</w:t>
      </w:r>
      <w:r w:rsidR="003443F3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5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a di </w:t>
      </w:r>
      <w:bookmarkEnd w:id="1"/>
      <w:r w:rsidR="00DE0CDE"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ianificazione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de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>ll’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attività formativa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CD3E77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475740FE" w14:textId="274F2FC1" w:rsidR="00BA5D8B" w:rsidRDefault="006A5071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6.2 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PA-FORU-00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2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a di </w:t>
      </w:r>
      <w:r w:rsidR="00DE0CDE"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rogettazione </w:t>
      </w:r>
      <w:r w:rsidR="00BA5D8B">
        <w:rPr>
          <w:rFonts w:ascii="Garamond" w:eastAsia="Times New Roman" w:hAnsi="Garamond" w:cs="TimesNewRomanPSMT"/>
          <w:sz w:val="24"/>
          <w:szCs w:val="24"/>
          <w:lang w:eastAsia="it-IT"/>
        </w:rPr>
        <w:t>dell’attività formativa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CD3E77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0DC5BE16" w14:textId="4B58C375" w:rsidR="00CD3E77" w:rsidRPr="003C214C" w:rsidRDefault="006A5071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6.3 </w:t>
      </w:r>
      <w:bookmarkStart w:id="2" w:name="_Hlk175584333"/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PA-FORU-00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3 </w:t>
      </w:r>
      <w:bookmarkEnd w:id="2"/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a di </w:t>
      </w:r>
      <w:r w:rsidR="00DE0CDE">
        <w:rPr>
          <w:rFonts w:ascii="Garamond" w:eastAsia="Times New Roman" w:hAnsi="Garamond" w:cs="TimesNewRomanPSMT"/>
          <w:sz w:val="24"/>
          <w:szCs w:val="24"/>
          <w:lang w:eastAsia="it-IT"/>
        </w:rPr>
        <w:t>E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rogazione dell’attività formativa</w:t>
      </w:r>
      <w:r w:rsidR="00BA5D8B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CD3E77" w:rsidRPr="00CD3E77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20DBD54E" w14:textId="1ED1709E" w:rsidR="003C214C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7.</w:t>
      </w:r>
      <w:r w:rsidR="007F5B6A" w:rsidRP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PA-FORU-00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7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di funzionamento del Comitato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S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cientifico 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>Formativo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(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con particolare riferimento all’individuazione del Responsabile 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>S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cientifico, alla valutazione scientifica del piano formativo, e all’approvazione del programma dei singoli eventi ove non previsti dal piano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)</w:t>
      </w:r>
      <w:r w:rsidR="001E0880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2C92C7BC" w14:textId="201F6AA6" w:rsidR="003C214C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8. 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PA-FORU-00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8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per il pagamento dei compensi e dei rimborsi delle spese dei docenti e dei moderatori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1E0880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16054C32" w14:textId="0CD15CD9" w:rsidR="003C214C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9.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PA-FORU-00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9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di gestione dei </w:t>
      </w:r>
      <w:r w:rsidR="003C214C" w:rsidRPr="003C214C">
        <w:rPr>
          <w:rFonts w:ascii="Garamond" w:eastAsia="Times New Roman" w:hAnsi="Garamond" w:cs="TimesNewRomanPS-ItalicMT"/>
          <w:i/>
          <w:iCs/>
          <w:sz w:val="24"/>
          <w:szCs w:val="24"/>
          <w:lang w:eastAsia="it-IT"/>
        </w:rPr>
        <w:t>feedback</w:t>
      </w:r>
      <w:r w:rsidR="007F5B6A">
        <w:rPr>
          <w:rFonts w:ascii="Garamond" w:eastAsia="Times New Roman" w:hAnsi="Garamond" w:cs="TimesNewRomanPS-ItalicMT"/>
          <w:i/>
          <w:iCs/>
          <w:sz w:val="24"/>
          <w:szCs w:val="24"/>
          <w:lang w:eastAsia="it-IT"/>
        </w:rPr>
        <w:t>.</w:t>
      </w:r>
    </w:p>
    <w:p w14:paraId="7B9F4A85" w14:textId="56E3A2CF" w:rsidR="00BA5D8B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10. 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-FORU-0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10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di valutazione d’impatto dell’attività formativa svolta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1E0880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56DDCB92" w14:textId="13C97354" w:rsidR="003C214C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11.</w:t>
      </w:r>
      <w:r w:rsidR="00E96E89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-FORU-0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11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di archiviazione e conservazione degli atti e dei documenti relativi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all’accreditamento e all’erogazione degli eventi</w:t>
      </w:r>
      <w:r w:rsidR="00086853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1E0880">
        <w:rPr>
          <w:rFonts w:ascii="Garamond" w:eastAsia="Times New Roman" w:hAnsi="Garamond" w:cs="TimesNewRomanPSMT"/>
          <w:sz w:val="24"/>
          <w:szCs w:val="24"/>
          <w:lang w:eastAsia="it-IT"/>
        </w:rPr>
        <w:t>(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per consentire all’ente accreditante e ai suoi organi ausiliari le verifiche presso la sede operativa o legale</w:t>
      </w:r>
      <w:r w:rsidR="001E0880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) </w:t>
      </w:r>
      <w:bookmarkStart w:id="3" w:name="_Hlk175584736"/>
    </w:p>
    <w:bookmarkEnd w:id="3"/>
    <w:p w14:paraId="2B23AAF7" w14:textId="7C164432" w:rsidR="00A15D91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12.</w:t>
      </w:r>
      <w:r w:rsidR="007F5B6A" w:rsidRP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-FORU-0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12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di 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gestione e trasmissione dei flussi delle partecipazioni al COGEAPS e all'Ente accreditante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6A5071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236C2045" w14:textId="54E12B4C" w:rsidR="00A15D91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>13</w:t>
      </w:r>
      <w:r w:rsidRPr="001E0880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-FORU-0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13</w:t>
      </w:r>
      <w:r w:rsidR="007F5B6A" w:rsidRPr="001E0880">
        <w:rPr>
          <w:rFonts w:ascii="Garamond" w:hAnsi="Garamond" w:cs="TimesNewRomanPSMT"/>
          <w:lang w:eastAsia="it-IT"/>
        </w:rPr>
        <w:t xml:space="preserve"> </w:t>
      </w:r>
      <w:r w:rsidR="001E0880">
        <w:rPr>
          <w:rFonts w:ascii="Garamond" w:hAnsi="Garamond" w:cs="TimesNewRomanPSMT"/>
          <w:lang w:eastAsia="it-IT"/>
        </w:rPr>
        <w:t>P</w:t>
      </w:r>
      <w:r w:rsidR="001E0880" w:rsidRPr="001E0880">
        <w:rPr>
          <w:rFonts w:ascii="Garamond" w:hAnsi="Garamond" w:cs="TimesNewRomanPSMT"/>
          <w:lang w:eastAsia="it-IT"/>
        </w:rPr>
        <w:t>rocedura di verifica e di implementazione della qualità dei processi ed attività</w:t>
      </w:r>
      <w:r w:rsidR="007F5B6A">
        <w:rPr>
          <w:rFonts w:ascii="Garamond" w:hAnsi="Garamond" w:cs="TimesNewRomanPSMT"/>
          <w:lang w:eastAsia="it-IT"/>
        </w:rPr>
        <w:t>.</w:t>
      </w:r>
      <w:r w:rsidR="00C23AEA">
        <w:rPr>
          <w:rFonts w:ascii="Garamond" w:hAnsi="Garamond" w:cs="TimesNewRomanPSMT"/>
          <w:lang w:eastAsia="it-IT"/>
        </w:rPr>
        <w:t xml:space="preserve"> </w:t>
      </w:r>
      <w:r w:rsidR="001E0880">
        <w:rPr>
          <w:rFonts w:ascii="Garamond" w:hAnsi="Garamond" w:cs="TimesNewRomanPSMT"/>
          <w:lang w:eastAsia="it-IT"/>
        </w:rPr>
        <w:t>(</w:t>
      </w:r>
      <w:r w:rsidR="00A15D91">
        <w:rPr>
          <w:rFonts w:ascii="Garamond" w:hAnsi="Garamond" w:cs="TimesNewRomanPSMT"/>
          <w:lang w:eastAsia="it-IT"/>
        </w:rPr>
        <w:t>U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lteriori aspetti relativi alla qualità dei processi stabiliti dall’ONFOCS e dall’Osservatorio regionale per la formazione sanitaria</w:t>
      </w:r>
      <w:r w:rsidR="001E0880">
        <w:rPr>
          <w:rFonts w:ascii="Garamond" w:hAnsi="Garamond" w:cs="TimesNewRomanPSMT"/>
          <w:lang w:eastAsia="it-IT"/>
        </w:rPr>
        <w:t>)</w:t>
      </w:r>
      <w:r w:rsidR="00FA4C94">
        <w:rPr>
          <w:rFonts w:ascii="Garamond" w:hAnsi="Garamond" w:cs="TimesNewRomanPSMT"/>
          <w:lang w:eastAsia="it-IT"/>
        </w:rPr>
        <w:t xml:space="preserve"> </w:t>
      </w:r>
    </w:p>
    <w:p w14:paraId="4270967D" w14:textId="5D46E9A2" w:rsidR="00A15D91" w:rsidRPr="003C214C" w:rsidRDefault="00BA5D8B" w:rsidP="0008685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it-IT"/>
        </w:rPr>
      </w:pPr>
      <w:r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14. 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7F5B6A" w:rsidRPr="00BA5D8B">
        <w:rPr>
          <w:rFonts w:ascii="Garamond" w:eastAsia="Times New Roman" w:hAnsi="Garamond" w:cs="TimesNewRomanPSMT"/>
          <w:sz w:val="24"/>
          <w:szCs w:val="24"/>
          <w:lang w:eastAsia="it-IT"/>
        </w:rPr>
        <w:t>-FORU-0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14 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P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rocedur</w:t>
      </w:r>
      <w:r>
        <w:rPr>
          <w:rFonts w:ascii="Garamond" w:eastAsia="Times New Roman" w:hAnsi="Garamond" w:cs="TimesNewRomanPSMT"/>
          <w:sz w:val="24"/>
          <w:szCs w:val="24"/>
          <w:lang w:eastAsia="it-IT"/>
        </w:rPr>
        <w:t>a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avent</w:t>
      </w:r>
      <w:r w:rsidR="00C23AEA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e </w:t>
      </w:r>
      <w:r w:rsidR="003C214C" w:rsidRPr="003C214C">
        <w:rPr>
          <w:rFonts w:ascii="Garamond" w:eastAsia="Times New Roman" w:hAnsi="Garamond" w:cs="TimesNewRomanPSMT"/>
          <w:sz w:val="24"/>
          <w:szCs w:val="24"/>
          <w:lang w:eastAsia="it-IT"/>
        </w:rPr>
        <w:t>ad oggetto la prevenzione del conflitto di interessi in materia ECM</w:t>
      </w:r>
      <w:r w:rsidR="007F5B6A">
        <w:rPr>
          <w:rFonts w:ascii="Garamond" w:eastAsia="Times New Roman" w:hAnsi="Garamond" w:cs="TimesNewRomanPSMT"/>
          <w:sz w:val="24"/>
          <w:szCs w:val="24"/>
          <w:lang w:eastAsia="it-IT"/>
        </w:rPr>
        <w:t>.</w:t>
      </w:r>
      <w:r w:rsidR="00A15D91" w:rsidRPr="00A15D91">
        <w:rPr>
          <w:rFonts w:ascii="Garamond" w:eastAsia="Times New Roman" w:hAnsi="Garamond" w:cs="TimesNewRomanPSMT"/>
          <w:sz w:val="24"/>
          <w:szCs w:val="24"/>
          <w:lang w:eastAsia="it-IT"/>
        </w:rPr>
        <w:t xml:space="preserve"> </w:t>
      </w:r>
    </w:p>
    <w:p w14:paraId="064A8696" w14:textId="6FF9F53C" w:rsidR="003C214C" w:rsidRPr="003C214C" w:rsidRDefault="003C214C" w:rsidP="003C214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NewRomanPSMT"/>
          <w:sz w:val="24"/>
          <w:szCs w:val="24"/>
          <w:lang w:eastAsia="it-IT"/>
        </w:rPr>
      </w:pPr>
    </w:p>
    <w:p w14:paraId="6E24C553" w14:textId="77777777" w:rsidR="008E5105" w:rsidRDefault="008E5105"/>
    <w:sectPr w:rsidR="008E51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26" w:right="707" w:bottom="899" w:left="1134" w:header="708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36B94" w14:textId="77777777" w:rsidR="00BB6D4D" w:rsidRDefault="00BB6D4D" w:rsidP="003C214C">
      <w:pPr>
        <w:spacing w:after="0" w:line="240" w:lineRule="auto"/>
      </w:pPr>
      <w:r>
        <w:separator/>
      </w:r>
    </w:p>
  </w:endnote>
  <w:endnote w:type="continuationSeparator" w:id="0">
    <w:p w14:paraId="3AC18FD7" w14:textId="77777777" w:rsidR="00BB6D4D" w:rsidRDefault="00BB6D4D" w:rsidP="003C2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93361" w14:textId="77777777" w:rsidR="00C97F6A" w:rsidRDefault="00C97F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0946" w14:textId="77777777" w:rsidR="00AD4453" w:rsidRDefault="002D515B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125F7E73" w14:textId="77777777" w:rsidR="00AD4453" w:rsidRDefault="00BB6D4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249A0" w14:textId="77777777" w:rsidR="00C97F6A" w:rsidRDefault="00C97F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7D68D" w14:textId="77777777" w:rsidR="00BB6D4D" w:rsidRDefault="00BB6D4D" w:rsidP="003C214C">
      <w:pPr>
        <w:spacing w:after="0" w:line="240" w:lineRule="auto"/>
      </w:pPr>
      <w:r>
        <w:separator/>
      </w:r>
    </w:p>
  </w:footnote>
  <w:footnote w:type="continuationSeparator" w:id="0">
    <w:p w14:paraId="6C59A9D3" w14:textId="77777777" w:rsidR="00BB6D4D" w:rsidRDefault="00BB6D4D" w:rsidP="003C2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F62D5" w14:textId="77777777" w:rsidR="00C97F6A" w:rsidRDefault="00C97F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25"/>
      <w:gridCol w:w="5747"/>
      <w:gridCol w:w="2001"/>
    </w:tblGrid>
    <w:tr w:rsidR="00AD4453" w:rsidRPr="00DE5289" w14:paraId="526C4821" w14:textId="77777777">
      <w:trPr>
        <w:cantSplit/>
        <w:trHeight w:hRule="exact" w:val="2412"/>
      </w:trPr>
      <w:tc>
        <w:tcPr>
          <w:tcW w:w="2325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1EDF0D5B" w14:textId="77777777" w:rsidR="00AD4453" w:rsidRPr="00DE5289" w:rsidRDefault="00BB6D4D">
          <w:pPr>
            <w:pStyle w:val="Standard"/>
            <w:snapToGrid w:val="0"/>
            <w:jc w:val="center"/>
            <w:rPr>
              <w:rFonts w:ascii="Garamond" w:hAnsi="Garamond"/>
              <w:color w:val="000000"/>
            </w:rPr>
          </w:pPr>
        </w:p>
        <w:p w14:paraId="6E1014ED" w14:textId="7B03EDC9" w:rsidR="00AD4453" w:rsidRPr="00DE5289" w:rsidRDefault="003C214C">
          <w:pPr>
            <w:jc w:val="center"/>
            <w:rPr>
              <w:rFonts w:ascii="Garamond" w:hAnsi="Garamond" w:cs="Garamond"/>
              <w:color w:val="000000"/>
            </w:rPr>
          </w:pPr>
          <w:r w:rsidRPr="00DE5289">
            <w:rPr>
              <w:rFonts w:ascii="Garamond" w:hAnsi="Garamond" w:cs="Garamond"/>
              <w:b/>
              <w:noProof/>
              <w:color w:val="000000"/>
            </w:rPr>
            <w:drawing>
              <wp:inline distT="0" distB="0" distL="0" distR="0" wp14:anchorId="7419DA77" wp14:editId="31D2B203">
                <wp:extent cx="1108710" cy="63373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8710" cy="63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9FFC320" w14:textId="77777777" w:rsidR="00AD4453" w:rsidRPr="00DE5289" w:rsidRDefault="002D515B">
          <w:pPr>
            <w:pStyle w:val="Intestazione"/>
            <w:jc w:val="center"/>
            <w:rPr>
              <w:rFonts w:ascii="Garamond" w:hAnsi="Garamond" w:cs="Garamond"/>
              <w:color w:val="000000"/>
            </w:rPr>
          </w:pPr>
          <w:r w:rsidRPr="00DE5289">
            <w:rPr>
              <w:rFonts w:ascii="Garamond" w:hAnsi="Garamond" w:cs="Garamond"/>
              <w:color w:val="000000"/>
            </w:rPr>
            <w:t>UOC</w:t>
          </w:r>
        </w:p>
        <w:p w14:paraId="63EDACB7" w14:textId="77777777" w:rsidR="00AD4453" w:rsidRPr="00DE5289" w:rsidRDefault="002D515B">
          <w:pPr>
            <w:pStyle w:val="Intestazione"/>
            <w:jc w:val="center"/>
            <w:rPr>
              <w:rFonts w:ascii="Garamond" w:hAnsi="Garamond" w:cs="Garamond"/>
              <w:color w:val="000000"/>
            </w:rPr>
          </w:pPr>
          <w:r w:rsidRPr="00DE5289">
            <w:rPr>
              <w:rFonts w:ascii="Garamond" w:hAnsi="Garamond" w:cs="Garamond"/>
              <w:color w:val="000000"/>
            </w:rPr>
            <w:t>Formazione</w:t>
          </w:r>
        </w:p>
        <w:p w14:paraId="3007DFB1" w14:textId="77777777" w:rsidR="00AD4453" w:rsidRPr="00DE5289" w:rsidRDefault="002D515B">
          <w:pPr>
            <w:pStyle w:val="Intestazione"/>
            <w:jc w:val="center"/>
            <w:rPr>
              <w:rFonts w:ascii="Garamond" w:hAnsi="Garamond" w:cs="Garamond"/>
              <w:b/>
              <w:color w:val="808080"/>
              <w:kern w:val="1"/>
            </w:rPr>
          </w:pPr>
          <w:r w:rsidRPr="00DE5289">
            <w:rPr>
              <w:rFonts w:ascii="Garamond" w:hAnsi="Garamond" w:cs="Garamond"/>
              <w:color w:val="000000"/>
            </w:rPr>
            <w:t>e Rapporti con l’Università</w:t>
          </w:r>
        </w:p>
      </w:tc>
      <w:tc>
        <w:tcPr>
          <w:tcW w:w="5747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FFFFB2"/>
          <w:vAlign w:val="center"/>
        </w:tcPr>
        <w:p w14:paraId="391D62C4" w14:textId="77777777" w:rsidR="00AD4453" w:rsidRPr="00DE5289" w:rsidRDefault="00BB6D4D">
          <w:pPr>
            <w:snapToGrid w:val="0"/>
            <w:jc w:val="center"/>
            <w:rPr>
              <w:rFonts w:ascii="Garamond" w:hAnsi="Garamond" w:cs="Garamond"/>
              <w:b/>
              <w:color w:val="808080"/>
              <w:kern w:val="1"/>
            </w:rPr>
          </w:pPr>
        </w:p>
        <w:p w14:paraId="3762CE66" w14:textId="77777777" w:rsidR="00AD4453" w:rsidRPr="00DE5289" w:rsidRDefault="00BB6D4D">
          <w:pPr>
            <w:jc w:val="center"/>
            <w:rPr>
              <w:rFonts w:ascii="Garamond" w:hAnsi="Garamond" w:cs="Garamond"/>
              <w:b/>
              <w:color w:val="808080"/>
              <w:kern w:val="1"/>
            </w:rPr>
          </w:pPr>
        </w:p>
        <w:p w14:paraId="6494E6AF" w14:textId="77777777" w:rsidR="00AD4453" w:rsidRPr="00DE5289" w:rsidRDefault="002D515B" w:rsidP="006038AC">
          <w:pPr>
            <w:spacing w:line="276" w:lineRule="auto"/>
            <w:jc w:val="center"/>
            <w:rPr>
              <w:rFonts w:ascii="Garamond" w:hAnsi="Garamond" w:cs="Garamond"/>
              <w:b/>
              <w:kern w:val="1"/>
            </w:rPr>
          </w:pPr>
          <w:r w:rsidRPr="00DE5289">
            <w:rPr>
              <w:rFonts w:ascii="Garamond" w:hAnsi="Garamond" w:cs="Garamond"/>
              <w:b/>
              <w:kern w:val="1"/>
            </w:rPr>
            <w:t>PIANO DELLA QUALITA’ DELLA FORMAZIONE</w:t>
          </w:r>
        </w:p>
        <w:p w14:paraId="3F62BA4A" w14:textId="746DD53D" w:rsidR="00AD4453" w:rsidRDefault="002D515B" w:rsidP="006038AC">
          <w:pPr>
            <w:spacing w:line="276" w:lineRule="auto"/>
            <w:jc w:val="center"/>
            <w:rPr>
              <w:rFonts w:ascii="Garamond" w:hAnsi="Garamond" w:cs="Garamond"/>
              <w:b/>
              <w:kern w:val="1"/>
            </w:rPr>
          </w:pPr>
          <w:r w:rsidRPr="00DE5289">
            <w:rPr>
              <w:rFonts w:ascii="Garamond" w:hAnsi="Garamond" w:cs="Garamond"/>
              <w:b/>
              <w:kern w:val="1"/>
            </w:rPr>
            <w:t>AZIENDA USL TOSCANA SUD EST</w:t>
          </w:r>
        </w:p>
        <w:p w14:paraId="349A6944" w14:textId="7C9AD312" w:rsidR="003C214C" w:rsidRPr="00DE5289" w:rsidRDefault="003C214C" w:rsidP="006038AC">
          <w:pPr>
            <w:spacing w:line="276" w:lineRule="auto"/>
            <w:jc w:val="center"/>
            <w:rPr>
              <w:rFonts w:ascii="Garamond" w:hAnsi="Garamond" w:cs="Garamond"/>
              <w:b/>
              <w:color w:val="818181"/>
            </w:rPr>
          </w:pPr>
          <w:r>
            <w:rPr>
              <w:rFonts w:ascii="Garamond" w:hAnsi="Garamond" w:cs="Garamond"/>
              <w:b/>
              <w:color w:val="818181"/>
            </w:rPr>
            <w:t xml:space="preserve">INDICE </w:t>
          </w:r>
        </w:p>
        <w:p w14:paraId="4991863E" w14:textId="77777777" w:rsidR="00AD4453" w:rsidRPr="00DE5289" w:rsidRDefault="00BB6D4D" w:rsidP="006038AC">
          <w:pPr>
            <w:spacing w:line="276" w:lineRule="auto"/>
            <w:jc w:val="center"/>
            <w:rPr>
              <w:rFonts w:ascii="Garamond" w:hAnsi="Garamond" w:cs="Garamond"/>
              <w:b/>
              <w:color w:val="818181"/>
            </w:rPr>
          </w:pPr>
        </w:p>
        <w:p w14:paraId="6ED7DECC" w14:textId="77777777" w:rsidR="00AD4453" w:rsidRPr="00DE5289" w:rsidRDefault="00BB6D4D">
          <w:pPr>
            <w:jc w:val="center"/>
            <w:rPr>
              <w:rFonts w:ascii="Garamond" w:hAnsi="Garamond" w:cs="Garamond"/>
              <w:b/>
              <w:color w:val="818181"/>
            </w:rPr>
          </w:pPr>
        </w:p>
      </w:tc>
      <w:tc>
        <w:tcPr>
          <w:tcW w:w="2001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14:paraId="6A8B35FD" w14:textId="77777777" w:rsidR="00AD4453" w:rsidRDefault="00BB6D4D">
          <w:pPr>
            <w:autoSpaceDE w:val="0"/>
            <w:snapToGrid w:val="0"/>
            <w:ind w:left="-180"/>
            <w:jc w:val="center"/>
            <w:rPr>
              <w:rFonts w:ascii="Garamond" w:hAnsi="Garamond" w:cs="Garamond"/>
              <w:b/>
            </w:rPr>
          </w:pPr>
        </w:p>
        <w:p w14:paraId="7EE00113" w14:textId="77777777" w:rsidR="00AD4453" w:rsidRDefault="00BB6D4D">
          <w:pPr>
            <w:autoSpaceDE w:val="0"/>
            <w:snapToGrid w:val="0"/>
            <w:ind w:left="-180"/>
            <w:jc w:val="center"/>
            <w:rPr>
              <w:rFonts w:ascii="Garamond" w:hAnsi="Garamond" w:cs="Garamond"/>
              <w:kern w:val="1"/>
            </w:rPr>
          </w:pPr>
        </w:p>
        <w:p w14:paraId="04312364" w14:textId="58E54953" w:rsidR="00AD4453" w:rsidRPr="00AC7ECF" w:rsidRDefault="00C97F6A">
          <w:pPr>
            <w:autoSpaceDE w:val="0"/>
            <w:ind w:left="-180"/>
            <w:jc w:val="center"/>
            <w:rPr>
              <w:rFonts w:ascii="Garamond" w:hAnsi="Garamond" w:cs="Garamond"/>
              <w:color w:val="808080"/>
              <w:kern w:val="1"/>
              <w:highlight w:val="yellow"/>
            </w:rPr>
          </w:pPr>
          <w:r w:rsidRPr="00AC7ECF">
            <w:rPr>
              <w:rFonts w:ascii="Garamond" w:hAnsi="Garamond" w:cs="Garamond"/>
              <w:highlight w:val="yellow"/>
            </w:rPr>
            <w:t>Data: __________</w:t>
          </w:r>
        </w:p>
        <w:p w14:paraId="2F9EE15E" w14:textId="77777777" w:rsidR="00DC0731" w:rsidRDefault="00DC0731">
          <w:pPr>
            <w:pStyle w:val="Intestazione"/>
            <w:jc w:val="center"/>
            <w:rPr>
              <w:rFonts w:ascii="Garamond" w:hAnsi="Garamond" w:cs="Garamond"/>
            </w:rPr>
          </w:pPr>
        </w:p>
        <w:p w14:paraId="6C2770B1" w14:textId="6245ECEB" w:rsidR="00AD4453" w:rsidRPr="00B16D39" w:rsidRDefault="002D515B">
          <w:pPr>
            <w:pStyle w:val="Intestazione"/>
            <w:jc w:val="center"/>
            <w:rPr>
              <w:rFonts w:ascii="Garamond" w:hAnsi="Garamond" w:cs="Garamond"/>
            </w:rPr>
          </w:pPr>
          <w:r w:rsidRPr="00B16D39">
            <w:rPr>
              <w:rFonts w:ascii="Garamond" w:hAnsi="Garamond" w:cs="Garamond"/>
            </w:rPr>
            <w:t xml:space="preserve">Pag. </w:t>
          </w:r>
          <w:r w:rsidRPr="00B16D39">
            <w:rPr>
              <w:rFonts w:ascii="Garamond" w:hAnsi="Garamond" w:cs="Garamond"/>
            </w:rPr>
            <w:fldChar w:fldCharType="begin"/>
          </w:r>
          <w:r w:rsidRPr="00B16D39">
            <w:rPr>
              <w:rFonts w:ascii="Garamond" w:hAnsi="Garamond" w:cs="Garamond"/>
            </w:rPr>
            <w:instrText xml:space="preserve"> PAGE \*Arabic </w:instrText>
          </w:r>
          <w:r w:rsidRPr="00B16D39">
            <w:rPr>
              <w:rFonts w:ascii="Garamond" w:hAnsi="Garamond" w:cs="Garamond"/>
            </w:rPr>
            <w:fldChar w:fldCharType="separate"/>
          </w:r>
          <w:r w:rsidRPr="00B16D39">
            <w:rPr>
              <w:rFonts w:ascii="Garamond" w:hAnsi="Garamond" w:cs="Garamond"/>
              <w:noProof/>
            </w:rPr>
            <w:t>1</w:t>
          </w:r>
          <w:r w:rsidRPr="00B16D39">
            <w:rPr>
              <w:rFonts w:ascii="Garamond" w:hAnsi="Garamond" w:cs="Garamond"/>
            </w:rPr>
            <w:fldChar w:fldCharType="end"/>
          </w:r>
          <w:r w:rsidRPr="00B16D39">
            <w:rPr>
              <w:rFonts w:ascii="Garamond" w:hAnsi="Garamond" w:cs="Garamond"/>
            </w:rPr>
            <w:t xml:space="preserve"> di </w:t>
          </w:r>
          <w:r w:rsidRPr="00B16D39">
            <w:rPr>
              <w:rFonts w:ascii="Garamond" w:hAnsi="Garamond" w:cs="Garamond"/>
            </w:rPr>
            <w:fldChar w:fldCharType="begin"/>
          </w:r>
          <w:r w:rsidRPr="00B16D39">
            <w:rPr>
              <w:rFonts w:ascii="Garamond" w:hAnsi="Garamond" w:cs="Garamond"/>
            </w:rPr>
            <w:instrText xml:space="preserve"> NUMPAGES \*Arabic </w:instrText>
          </w:r>
          <w:r w:rsidRPr="00B16D39">
            <w:rPr>
              <w:rFonts w:ascii="Garamond" w:hAnsi="Garamond" w:cs="Garamond"/>
            </w:rPr>
            <w:fldChar w:fldCharType="separate"/>
          </w:r>
          <w:r w:rsidRPr="00B16D39">
            <w:rPr>
              <w:rFonts w:ascii="Garamond" w:hAnsi="Garamond" w:cs="Garamond"/>
              <w:noProof/>
            </w:rPr>
            <w:t>12</w:t>
          </w:r>
          <w:r w:rsidRPr="00B16D39">
            <w:rPr>
              <w:rFonts w:ascii="Garamond" w:hAnsi="Garamond" w:cs="Garamond"/>
            </w:rPr>
            <w:fldChar w:fldCharType="end"/>
          </w:r>
        </w:p>
        <w:p w14:paraId="401B2D70" w14:textId="77777777" w:rsidR="00AD4453" w:rsidRPr="00AC7ECF" w:rsidRDefault="00BB6D4D">
          <w:pPr>
            <w:pStyle w:val="Intestazione"/>
            <w:jc w:val="center"/>
            <w:rPr>
              <w:rFonts w:ascii="Garamond" w:hAnsi="Garamond" w:cs="Garamond"/>
              <w:highlight w:val="yellow"/>
            </w:rPr>
          </w:pPr>
        </w:p>
        <w:p w14:paraId="6DAAF455" w14:textId="439226BF" w:rsidR="00AD4453" w:rsidRPr="00DE5289" w:rsidRDefault="00BB6D4D">
          <w:pPr>
            <w:pStyle w:val="Intestazione"/>
            <w:jc w:val="center"/>
            <w:rPr>
              <w:rFonts w:ascii="Garamond" w:hAnsi="Garamond"/>
            </w:rPr>
          </w:pPr>
        </w:p>
      </w:tc>
    </w:tr>
  </w:tbl>
  <w:p w14:paraId="1F17FF85" w14:textId="77777777" w:rsidR="00AD4453" w:rsidRPr="00DE5289" w:rsidRDefault="00BB6D4D">
    <w:pPr>
      <w:pStyle w:val="Intestazione"/>
      <w:rPr>
        <w:rFonts w:ascii="Garamond" w:hAnsi="Garamon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502B3" w14:textId="77777777" w:rsidR="00C97F6A" w:rsidRDefault="00C97F6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ED"/>
    <w:rsid w:val="00086853"/>
    <w:rsid w:val="001E0880"/>
    <w:rsid w:val="002D515B"/>
    <w:rsid w:val="003443F3"/>
    <w:rsid w:val="003C214C"/>
    <w:rsid w:val="006A5071"/>
    <w:rsid w:val="006C7AB8"/>
    <w:rsid w:val="007F5B6A"/>
    <w:rsid w:val="008E5105"/>
    <w:rsid w:val="00A15D91"/>
    <w:rsid w:val="00B255ED"/>
    <w:rsid w:val="00BA5D8B"/>
    <w:rsid w:val="00BB6D4D"/>
    <w:rsid w:val="00C23AEA"/>
    <w:rsid w:val="00C85BAC"/>
    <w:rsid w:val="00C97F6A"/>
    <w:rsid w:val="00CD3E77"/>
    <w:rsid w:val="00CF56C8"/>
    <w:rsid w:val="00DC0731"/>
    <w:rsid w:val="00DE0CDE"/>
    <w:rsid w:val="00E96E89"/>
    <w:rsid w:val="00F43734"/>
    <w:rsid w:val="00F75D65"/>
    <w:rsid w:val="00FA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2C43"/>
  <w15:chartTrackingRefBased/>
  <w15:docId w15:val="{D1E518D4-8E15-4875-ACA0-2014988B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15D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2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14C"/>
  </w:style>
  <w:style w:type="paragraph" w:styleId="Pidipagina">
    <w:name w:val="footer"/>
    <w:basedOn w:val="Normale"/>
    <w:link w:val="PidipaginaCarattere"/>
    <w:uiPriority w:val="99"/>
    <w:unhideWhenUsed/>
    <w:rsid w:val="003C2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14C"/>
  </w:style>
  <w:style w:type="paragraph" w:customStyle="1" w:styleId="Standard">
    <w:name w:val="Standard"/>
    <w:rsid w:val="003C214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BA5D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6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6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Polvani Stefania</dc:creator>
  <cp:keywords/>
  <dc:description/>
  <cp:lastModifiedBy>Menci Paola</cp:lastModifiedBy>
  <cp:revision>2</cp:revision>
  <cp:lastPrinted>2024-09-27T09:59:00Z</cp:lastPrinted>
  <dcterms:created xsi:type="dcterms:W3CDTF">2024-12-04T07:54:00Z</dcterms:created>
  <dcterms:modified xsi:type="dcterms:W3CDTF">2024-12-04T07:54:00Z</dcterms:modified>
</cp:coreProperties>
</file>